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4B9A" w14:textId="1F8AFBD7" w:rsidR="00526C13" w:rsidRDefault="00526C13" w:rsidP="00526C13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Detection and evaluation of chronic hepatitis B and C patients </w:t>
      </w:r>
      <w:r w:rsidR="00BB756C">
        <w:rPr>
          <w:b/>
          <w:bCs/>
          <w:sz w:val="22"/>
          <w:szCs w:val="22"/>
          <w:lang w:val="en-US"/>
        </w:rPr>
        <w:t xml:space="preserve">who were </w:t>
      </w:r>
      <w:r w:rsidR="007F32B3">
        <w:rPr>
          <w:b/>
          <w:bCs/>
          <w:sz w:val="22"/>
          <w:szCs w:val="22"/>
          <w:lang w:val="en-US"/>
        </w:rPr>
        <w:t xml:space="preserve">lost to medical follow up </w:t>
      </w:r>
    </w:p>
    <w:p w14:paraId="205B000E" w14:textId="77777777" w:rsidR="00AA6FBE" w:rsidRPr="00BB756C" w:rsidRDefault="00AA6FBE" w:rsidP="00526C13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5E1DD9E6" w14:textId="77777777" w:rsidR="00BB756C" w:rsidRPr="00BB756C" w:rsidRDefault="00BB756C" w:rsidP="00BB756C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  <w:lang w:val="en-US"/>
        </w:rPr>
      </w:pPr>
      <w:r w:rsidRPr="00BB756C">
        <w:rPr>
          <w:rFonts w:ascii="Calibri" w:hAnsi="Calibri" w:cs="ArialMT"/>
          <w:lang w:val="en-US"/>
        </w:rPr>
        <w:t>K.V.C. Wevers</w:t>
      </w:r>
      <w:r w:rsidRPr="00BB756C">
        <w:rPr>
          <w:rFonts w:ascii="Calibri" w:hAnsi="Calibri" w:cs="ArialMT"/>
          <w:vertAlign w:val="superscript"/>
          <w:lang w:val="en-US"/>
        </w:rPr>
        <w:t>1</w:t>
      </w:r>
      <w:r w:rsidRPr="00BB756C">
        <w:rPr>
          <w:rFonts w:ascii="Calibri" w:hAnsi="Calibri" w:cs="ArialMT"/>
          <w:lang w:val="en-US"/>
        </w:rPr>
        <w:t>, G. Puts</w:t>
      </w:r>
      <w:r w:rsidRPr="00BB756C">
        <w:rPr>
          <w:rFonts w:ascii="Calibri" w:hAnsi="Calibri" w:cs="ArialMT"/>
          <w:vertAlign w:val="superscript"/>
          <w:lang w:val="en-US"/>
        </w:rPr>
        <w:t>1</w:t>
      </w:r>
      <w:r w:rsidRPr="00BB756C">
        <w:rPr>
          <w:rFonts w:ascii="Calibri" w:hAnsi="Calibri" w:cs="ArialMT"/>
          <w:lang w:val="en-US"/>
        </w:rPr>
        <w:t>, C.H.F.M. Waegemaekers</w:t>
      </w:r>
      <w:r w:rsidRPr="00BB756C">
        <w:rPr>
          <w:rFonts w:ascii="Calibri" w:hAnsi="Calibri" w:cs="ArialMT"/>
          <w:vertAlign w:val="superscript"/>
          <w:lang w:val="en-US"/>
        </w:rPr>
        <w:t>1</w:t>
      </w:r>
      <w:r w:rsidRPr="00BB756C">
        <w:rPr>
          <w:rFonts w:ascii="Calibri" w:hAnsi="Calibri" w:cs="ArialMT"/>
          <w:lang w:val="en-US"/>
        </w:rPr>
        <w:t xml:space="preserve">, </w:t>
      </w:r>
      <w:r w:rsidR="00AA6D85">
        <w:rPr>
          <w:rFonts w:ascii="Calibri" w:hAnsi="Calibri" w:cs="ArialMT"/>
          <w:lang w:val="en-US"/>
        </w:rPr>
        <w:t xml:space="preserve">J.L.A. </w:t>
      </w:r>
      <w:proofErr w:type="spellStart"/>
      <w:r w:rsidR="00AA6D85">
        <w:rPr>
          <w:rFonts w:ascii="Calibri" w:hAnsi="Calibri" w:cs="ArialMT"/>
          <w:lang w:val="en-US"/>
        </w:rPr>
        <w:t>Hautvast</w:t>
      </w:r>
      <w:proofErr w:type="spellEnd"/>
      <w:r w:rsidR="00AA6D85">
        <w:rPr>
          <w:rFonts w:ascii="Calibri" w:hAnsi="Calibri" w:cs="ArialMT"/>
          <w:lang w:val="en-US"/>
        </w:rPr>
        <w:t xml:space="preserve"> </w:t>
      </w:r>
      <w:r w:rsidR="00AA6D85">
        <w:rPr>
          <w:rFonts w:ascii="Calibri" w:hAnsi="Calibri" w:cs="ArialMT"/>
          <w:vertAlign w:val="superscript"/>
          <w:lang w:val="en-US"/>
        </w:rPr>
        <w:t>2</w:t>
      </w:r>
      <w:r w:rsidR="00AA6D85">
        <w:rPr>
          <w:rFonts w:ascii="Calibri" w:hAnsi="Calibri" w:cs="ArialMT"/>
          <w:lang w:val="en-US"/>
        </w:rPr>
        <w:t xml:space="preserve">, </w:t>
      </w:r>
      <w:r w:rsidRPr="00BB756C">
        <w:rPr>
          <w:rFonts w:ascii="Calibri" w:hAnsi="Calibri" w:cs="ArialMT"/>
          <w:lang w:val="en-US"/>
        </w:rPr>
        <w:t>A. Tostmann</w:t>
      </w:r>
      <w:r w:rsidRPr="00BB756C">
        <w:rPr>
          <w:rFonts w:ascii="Calibri" w:hAnsi="Calibri" w:cs="ArialMT"/>
          <w:vertAlign w:val="superscript"/>
          <w:lang w:val="en-US"/>
        </w:rPr>
        <w:t>2</w:t>
      </w:r>
    </w:p>
    <w:p w14:paraId="3A3D2AF7" w14:textId="77777777" w:rsidR="00AA6D85" w:rsidRDefault="00AA6D85" w:rsidP="00BB756C">
      <w:pPr>
        <w:pStyle w:val="Default"/>
        <w:rPr>
          <w:rFonts w:asciiTheme="minorHAnsi" w:hAnsiTheme="minorHAnsi" w:cs="ArialMT"/>
          <w:sz w:val="22"/>
          <w:szCs w:val="22"/>
          <w:lang w:val="en-US"/>
        </w:rPr>
      </w:pPr>
    </w:p>
    <w:p w14:paraId="57A61A79" w14:textId="1878032F" w:rsidR="00AA6D85" w:rsidRDefault="00BB756C" w:rsidP="00BB756C">
      <w:pPr>
        <w:pStyle w:val="Default"/>
        <w:rPr>
          <w:rFonts w:asciiTheme="minorHAnsi" w:hAnsiTheme="minorHAnsi" w:cs="ArialMT"/>
          <w:sz w:val="22"/>
          <w:szCs w:val="22"/>
          <w:lang w:val="en-US"/>
        </w:rPr>
      </w:pPr>
      <w:r w:rsidRPr="005C3E79">
        <w:rPr>
          <w:rFonts w:asciiTheme="minorHAnsi" w:hAnsiTheme="minorHAnsi" w:cs="ArialMT"/>
          <w:sz w:val="22"/>
          <w:szCs w:val="22"/>
          <w:lang w:val="en-US"/>
        </w:rPr>
        <w:t xml:space="preserve">1) </w:t>
      </w:r>
      <w:r w:rsidR="00AA6D85">
        <w:rPr>
          <w:rFonts w:asciiTheme="minorHAnsi" w:hAnsiTheme="minorHAnsi" w:cs="ArialMT"/>
          <w:sz w:val="22"/>
          <w:szCs w:val="22"/>
          <w:lang w:val="en-US"/>
        </w:rPr>
        <w:t>Regional Public Health Service</w:t>
      </w:r>
      <w:r w:rsidR="00E45795">
        <w:rPr>
          <w:rFonts w:asciiTheme="minorHAnsi" w:hAnsiTheme="minorHAnsi" w:cs="ArialMT"/>
          <w:sz w:val="22"/>
          <w:szCs w:val="22"/>
          <w:lang w:val="en-US"/>
        </w:rPr>
        <w:t xml:space="preserve"> Gelderland-</w:t>
      </w:r>
      <w:proofErr w:type="spellStart"/>
      <w:r w:rsidRPr="005C3E79">
        <w:rPr>
          <w:rFonts w:asciiTheme="minorHAnsi" w:hAnsiTheme="minorHAnsi" w:cs="ArialMT"/>
          <w:sz w:val="22"/>
          <w:szCs w:val="22"/>
          <w:lang w:val="en-US"/>
        </w:rPr>
        <w:t>Midden</w:t>
      </w:r>
      <w:proofErr w:type="spellEnd"/>
      <w:r w:rsidR="00AA6D85">
        <w:rPr>
          <w:rFonts w:asciiTheme="minorHAnsi" w:hAnsiTheme="minorHAnsi" w:cs="ArialMT"/>
          <w:sz w:val="22"/>
          <w:szCs w:val="22"/>
          <w:lang w:val="en-US"/>
        </w:rPr>
        <w:t>, Arnhem, The Netherlands</w:t>
      </w:r>
    </w:p>
    <w:p w14:paraId="1A527E82" w14:textId="77777777" w:rsidR="00526C13" w:rsidRPr="005C3E79" w:rsidRDefault="00BB756C" w:rsidP="00BB756C">
      <w:pPr>
        <w:pStyle w:val="Default"/>
        <w:rPr>
          <w:rFonts w:asciiTheme="minorHAnsi" w:hAnsiTheme="minorHAnsi" w:cs="ArialMT"/>
          <w:sz w:val="22"/>
          <w:szCs w:val="22"/>
          <w:lang w:val="en-US"/>
        </w:rPr>
      </w:pPr>
      <w:r w:rsidRPr="005C3E79">
        <w:rPr>
          <w:rFonts w:asciiTheme="minorHAnsi" w:hAnsiTheme="minorHAnsi" w:cs="ArialMT"/>
          <w:sz w:val="22"/>
          <w:szCs w:val="22"/>
          <w:lang w:val="en-US"/>
        </w:rPr>
        <w:t>2</w:t>
      </w:r>
      <w:r w:rsidR="005C3E79" w:rsidRPr="005C3E79">
        <w:rPr>
          <w:rFonts w:asciiTheme="minorHAnsi" w:hAnsiTheme="minorHAnsi" w:cs="ArialMT"/>
          <w:sz w:val="22"/>
          <w:szCs w:val="22"/>
          <w:lang w:val="en-US"/>
        </w:rPr>
        <w:t>)</w:t>
      </w:r>
      <w:r w:rsidR="005C3E79" w:rsidRPr="005C3E79">
        <w:rPr>
          <w:rFonts w:asciiTheme="minorHAnsi" w:hAnsiTheme="minorHAnsi" w:cs="Arial"/>
          <w:sz w:val="22"/>
          <w:szCs w:val="22"/>
          <w:lang w:val="en-US"/>
        </w:rPr>
        <w:t xml:space="preserve"> Academic Collaborative Centre AMPHI, Department of Primary and Community Care, </w:t>
      </w:r>
      <w:proofErr w:type="spellStart"/>
      <w:r w:rsidR="005C3E79" w:rsidRPr="005C3E79">
        <w:rPr>
          <w:rFonts w:asciiTheme="minorHAnsi" w:hAnsiTheme="minorHAnsi" w:cs="Arial"/>
          <w:sz w:val="22"/>
          <w:szCs w:val="22"/>
          <w:lang w:val="en-US"/>
        </w:rPr>
        <w:t>Radboud</w:t>
      </w:r>
      <w:r w:rsidR="00F64FE9">
        <w:rPr>
          <w:rFonts w:asciiTheme="minorHAnsi" w:hAnsiTheme="minorHAnsi" w:cs="Arial"/>
          <w:sz w:val="22"/>
          <w:szCs w:val="22"/>
          <w:lang w:val="en-US"/>
        </w:rPr>
        <w:t>umc</w:t>
      </w:r>
      <w:proofErr w:type="spellEnd"/>
      <w:r w:rsidR="005C3E79" w:rsidRPr="005C3E7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AA6D85">
        <w:rPr>
          <w:rFonts w:asciiTheme="minorHAnsi" w:hAnsiTheme="minorHAnsi" w:cs="Arial"/>
          <w:sz w:val="22"/>
          <w:szCs w:val="22"/>
          <w:lang w:val="en-US"/>
        </w:rPr>
        <w:t xml:space="preserve">university medical </w:t>
      </w:r>
      <w:proofErr w:type="spellStart"/>
      <w:r w:rsidR="00AA6D85">
        <w:rPr>
          <w:rFonts w:asciiTheme="minorHAnsi" w:hAnsiTheme="minorHAnsi" w:cs="Arial"/>
          <w:sz w:val="22"/>
          <w:szCs w:val="22"/>
          <w:lang w:val="en-US"/>
        </w:rPr>
        <w:t>centre</w:t>
      </w:r>
      <w:proofErr w:type="spellEnd"/>
      <w:r w:rsidR="00AA6D85">
        <w:rPr>
          <w:rFonts w:asciiTheme="minorHAnsi" w:hAnsiTheme="minorHAnsi" w:cs="Arial"/>
          <w:sz w:val="22"/>
          <w:szCs w:val="22"/>
          <w:lang w:val="en-US"/>
        </w:rPr>
        <w:t xml:space="preserve">, Nijmegen, The Netherlands </w:t>
      </w:r>
    </w:p>
    <w:p w14:paraId="0C890F0B" w14:textId="77777777" w:rsidR="004A7F4F" w:rsidRDefault="004A7F4F" w:rsidP="00526C13">
      <w:pPr>
        <w:pStyle w:val="Default"/>
        <w:rPr>
          <w:b/>
          <w:bCs/>
          <w:sz w:val="22"/>
          <w:szCs w:val="22"/>
          <w:lang w:val="en-US"/>
        </w:rPr>
      </w:pPr>
    </w:p>
    <w:p w14:paraId="2E2E9DCE" w14:textId="1CEF5FC6" w:rsidR="00785B2B" w:rsidRDefault="00526C13" w:rsidP="00526C13">
      <w:pPr>
        <w:pStyle w:val="Default"/>
        <w:rPr>
          <w:color w:val="808080" w:themeColor="background1" w:themeShade="80"/>
          <w:sz w:val="22"/>
          <w:szCs w:val="22"/>
          <w:lang w:val="en-US"/>
        </w:rPr>
      </w:pPr>
      <w:r w:rsidRPr="00526C13">
        <w:rPr>
          <w:b/>
          <w:bCs/>
          <w:sz w:val="22"/>
          <w:szCs w:val="22"/>
          <w:lang w:val="en-US"/>
        </w:rPr>
        <w:t xml:space="preserve">Background </w:t>
      </w:r>
      <w:r w:rsidR="007D733B">
        <w:rPr>
          <w:color w:val="auto"/>
          <w:sz w:val="22"/>
          <w:szCs w:val="22"/>
          <w:lang w:val="en-US"/>
        </w:rPr>
        <w:t>T</w:t>
      </w:r>
      <w:r w:rsidR="00785B2B">
        <w:rPr>
          <w:color w:val="auto"/>
          <w:sz w:val="22"/>
          <w:szCs w:val="22"/>
          <w:lang w:val="en-US"/>
        </w:rPr>
        <w:t xml:space="preserve">reatment options </w:t>
      </w:r>
      <w:r w:rsidR="007D733B">
        <w:rPr>
          <w:color w:val="auto"/>
          <w:sz w:val="22"/>
          <w:szCs w:val="22"/>
          <w:lang w:val="en-US"/>
        </w:rPr>
        <w:t xml:space="preserve">for </w:t>
      </w:r>
      <w:r w:rsidR="00086EFE">
        <w:rPr>
          <w:color w:val="auto"/>
          <w:sz w:val="22"/>
          <w:szCs w:val="22"/>
          <w:lang w:val="en-US"/>
        </w:rPr>
        <w:t xml:space="preserve">chronic </w:t>
      </w:r>
      <w:r w:rsidR="007D733B">
        <w:rPr>
          <w:color w:val="auto"/>
          <w:sz w:val="22"/>
          <w:szCs w:val="22"/>
          <w:lang w:val="en-US"/>
        </w:rPr>
        <w:t xml:space="preserve">hepatitis B </w:t>
      </w:r>
      <w:r w:rsidR="00D469AF">
        <w:rPr>
          <w:color w:val="auto"/>
          <w:sz w:val="22"/>
          <w:szCs w:val="22"/>
          <w:lang w:val="en-US"/>
        </w:rPr>
        <w:t>(</w:t>
      </w:r>
      <w:proofErr w:type="spellStart"/>
      <w:r w:rsidR="00D469AF">
        <w:rPr>
          <w:color w:val="auto"/>
          <w:sz w:val="22"/>
          <w:szCs w:val="22"/>
          <w:lang w:val="en-US"/>
        </w:rPr>
        <w:t>hepB</w:t>
      </w:r>
      <w:proofErr w:type="spellEnd"/>
      <w:r w:rsidR="00D469AF">
        <w:rPr>
          <w:color w:val="auto"/>
          <w:sz w:val="22"/>
          <w:szCs w:val="22"/>
          <w:lang w:val="en-US"/>
        </w:rPr>
        <w:t xml:space="preserve">) </w:t>
      </w:r>
      <w:r w:rsidR="007D733B">
        <w:rPr>
          <w:color w:val="auto"/>
          <w:sz w:val="22"/>
          <w:szCs w:val="22"/>
          <w:lang w:val="en-US"/>
        </w:rPr>
        <w:t>and C</w:t>
      </w:r>
      <w:r w:rsidR="00D469AF">
        <w:rPr>
          <w:color w:val="auto"/>
          <w:sz w:val="22"/>
          <w:szCs w:val="22"/>
          <w:lang w:val="en-US"/>
        </w:rPr>
        <w:t xml:space="preserve"> (</w:t>
      </w:r>
      <w:proofErr w:type="spellStart"/>
      <w:r w:rsidR="00D469AF">
        <w:rPr>
          <w:color w:val="auto"/>
          <w:sz w:val="22"/>
          <w:szCs w:val="22"/>
          <w:lang w:val="en-US"/>
        </w:rPr>
        <w:t>hepC</w:t>
      </w:r>
      <w:proofErr w:type="spellEnd"/>
      <w:r w:rsidR="00D469AF">
        <w:rPr>
          <w:color w:val="auto"/>
          <w:sz w:val="22"/>
          <w:szCs w:val="22"/>
          <w:lang w:val="en-US"/>
        </w:rPr>
        <w:t>)</w:t>
      </w:r>
      <w:r w:rsidR="007D733B">
        <w:rPr>
          <w:color w:val="auto"/>
          <w:sz w:val="22"/>
          <w:szCs w:val="22"/>
          <w:lang w:val="en-US"/>
        </w:rPr>
        <w:t xml:space="preserve"> </w:t>
      </w:r>
      <w:r w:rsidR="00785B2B">
        <w:rPr>
          <w:color w:val="auto"/>
          <w:sz w:val="22"/>
          <w:szCs w:val="22"/>
          <w:lang w:val="en-US"/>
        </w:rPr>
        <w:t xml:space="preserve">have improved rapidly </w:t>
      </w:r>
      <w:r w:rsidR="007D733B">
        <w:rPr>
          <w:color w:val="auto"/>
          <w:sz w:val="22"/>
          <w:szCs w:val="22"/>
          <w:lang w:val="en-US"/>
        </w:rPr>
        <w:t>last years</w:t>
      </w:r>
      <w:r w:rsidR="00AA6FBE">
        <w:rPr>
          <w:color w:val="auto"/>
          <w:sz w:val="22"/>
          <w:szCs w:val="22"/>
          <w:lang w:val="en-US"/>
        </w:rPr>
        <w:t xml:space="preserve">. </w:t>
      </w:r>
      <w:r w:rsidR="00086EFE">
        <w:rPr>
          <w:color w:val="auto"/>
          <w:sz w:val="22"/>
          <w:szCs w:val="22"/>
          <w:lang w:val="en-US"/>
        </w:rPr>
        <w:t>D</w:t>
      </w:r>
      <w:r w:rsidR="005634E6">
        <w:rPr>
          <w:color w:val="auto"/>
          <w:sz w:val="22"/>
          <w:szCs w:val="22"/>
          <w:lang w:val="en-US"/>
        </w:rPr>
        <w:t xml:space="preserve">etecting </w:t>
      </w:r>
      <w:r w:rsidR="00B6394C">
        <w:rPr>
          <w:color w:val="auto"/>
          <w:sz w:val="22"/>
          <w:szCs w:val="22"/>
          <w:lang w:val="en-US"/>
        </w:rPr>
        <w:t>those</w:t>
      </w:r>
      <w:r w:rsidR="007D733B">
        <w:rPr>
          <w:color w:val="auto"/>
          <w:sz w:val="22"/>
          <w:szCs w:val="22"/>
          <w:lang w:val="en-US"/>
        </w:rPr>
        <w:t xml:space="preserve"> patients </w:t>
      </w:r>
      <w:r w:rsidR="005C3E79">
        <w:rPr>
          <w:color w:val="auto"/>
          <w:sz w:val="22"/>
          <w:szCs w:val="22"/>
          <w:lang w:val="en-US"/>
        </w:rPr>
        <w:t xml:space="preserve">who are </w:t>
      </w:r>
      <w:r w:rsidR="00AA6FBE">
        <w:rPr>
          <w:color w:val="auto"/>
          <w:sz w:val="22"/>
          <w:szCs w:val="22"/>
          <w:lang w:val="en-US"/>
        </w:rPr>
        <w:t>l</w:t>
      </w:r>
      <w:r w:rsidR="005634E6">
        <w:rPr>
          <w:color w:val="auto"/>
          <w:sz w:val="22"/>
          <w:szCs w:val="22"/>
          <w:lang w:val="en-US"/>
        </w:rPr>
        <w:t>ost to follow up</w:t>
      </w:r>
      <w:r w:rsidR="0097592E">
        <w:rPr>
          <w:color w:val="auto"/>
          <w:sz w:val="22"/>
          <w:szCs w:val="22"/>
          <w:lang w:val="en-US"/>
        </w:rPr>
        <w:t xml:space="preserve">, </w:t>
      </w:r>
      <w:r w:rsidR="00086EFE">
        <w:rPr>
          <w:color w:val="auto"/>
          <w:sz w:val="22"/>
          <w:szCs w:val="22"/>
          <w:lang w:val="en-US"/>
        </w:rPr>
        <w:t xml:space="preserve">enables to bring them back </w:t>
      </w:r>
      <w:r w:rsidR="005C3E79">
        <w:rPr>
          <w:color w:val="auto"/>
          <w:sz w:val="22"/>
          <w:szCs w:val="22"/>
          <w:lang w:val="en-US"/>
        </w:rPr>
        <w:t xml:space="preserve">to medical concern and </w:t>
      </w:r>
      <w:r w:rsidR="00086EFE">
        <w:rPr>
          <w:color w:val="auto"/>
          <w:sz w:val="22"/>
          <w:szCs w:val="22"/>
          <w:lang w:val="en-US"/>
        </w:rPr>
        <w:t xml:space="preserve">evaluate their </w:t>
      </w:r>
      <w:r w:rsidR="00B6394C">
        <w:rPr>
          <w:color w:val="auto"/>
          <w:sz w:val="22"/>
          <w:szCs w:val="22"/>
          <w:lang w:val="en-US"/>
        </w:rPr>
        <w:t xml:space="preserve">treatment </w:t>
      </w:r>
      <w:r w:rsidR="00086EFE">
        <w:rPr>
          <w:color w:val="auto"/>
          <w:sz w:val="22"/>
          <w:szCs w:val="22"/>
          <w:lang w:val="en-US"/>
        </w:rPr>
        <w:t>indication</w:t>
      </w:r>
      <w:r w:rsidR="00B6394C">
        <w:rPr>
          <w:color w:val="auto"/>
          <w:sz w:val="22"/>
          <w:szCs w:val="22"/>
          <w:lang w:val="en-US"/>
        </w:rPr>
        <w:t>. L</w:t>
      </w:r>
      <w:r w:rsidR="008A386B">
        <w:rPr>
          <w:color w:val="auto"/>
          <w:sz w:val="22"/>
          <w:szCs w:val="22"/>
          <w:lang w:val="en-US"/>
        </w:rPr>
        <w:t>ong term complications as well as</w:t>
      </w:r>
      <w:r w:rsidR="0097592E">
        <w:rPr>
          <w:color w:val="auto"/>
          <w:sz w:val="22"/>
          <w:szCs w:val="22"/>
          <w:lang w:val="en-US"/>
        </w:rPr>
        <w:t xml:space="preserve"> </w:t>
      </w:r>
      <w:r w:rsidR="00AA6FBE">
        <w:rPr>
          <w:color w:val="auto"/>
          <w:sz w:val="22"/>
          <w:szCs w:val="22"/>
          <w:lang w:val="en-US"/>
        </w:rPr>
        <w:t>viral</w:t>
      </w:r>
      <w:r w:rsidR="0097592E">
        <w:rPr>
          <w:color w:val="auto"/>
          <w:sz w:val="22"/>
          <w:szCs w:val="22"/>
          <w:lang w:val="en-US"/>
        </w:rPr>
        <w:t xml:space="preserve"> transmission can </w:t>
      </w:r>
      <w:r w:rsidR="005634E6">
        <w:rPr>
          <w:color w:val="auto"/>
          <w:sz w:val="22"/>
          <w:szCs w:val="22"/>
          <w:lang w:val="en-US"/>
        </w:rPr>
        <w:t xml:space="preserve">hereby </w:t>
      </w:r>
      <w:r w:rsidR="0097592E">
        <w:rPr>
          <w:color w:val="auto"/>
          <w:sz w:val="22"/>
          <w:szCs w:val="22"/>
          <w:lang w:val="en-US"/>
        </w:rPr>
        <w:t xml:space="preserve">be prevented. </w:t>
      </w:r>
      <w:r w:rsidR="00166ADB">
        <w:rPr>
          <w:color w:val="auto"/>
          <w:sz w:val="22"/>
          <w:szCs w:val="22"/>
          <w:lang w:val="en-US"/>
        </w:rPr>
        <w:t>T</w:t>
      </w:r>
      <w:r w:rsidR="00166ADB">
        <w:rPr>
          <w:color w:val="auto"/>
          <w:sz w:val="22"/>
          <w:szCs w:val="22"/>
          <w:lang w:val="en-US"/>
        </w:rPr>
        <w:t>o identify the most effective detection method</w:t>
      </w:r>
      <w:r w:rsidR="00166ADB">
        <w:rPr>
          <w:color w:val="auto"/>
          <w:sz w:val="22"/>
          <w:szCs w:val="22"/>
          <w:lang w:val="en-US"/>
        </w:rPr>
        <w:t>, we</w:t>
      </w:r>
      <w:r w:rsidR="005D4660">
        <w:rPr>
          <w:color w:val="auto"/>
          <w:sz w:val="22"/>
          <w:szCs w:val="22"/>
          <w:lang w:val="en-US"/>
        </w:rPr>
        <w:t xml:space="preserve"> </w:t>
      </w:r>
      <w:r w:rsidR="00C207DC">
        <w:rPr>
          <w:color w:val="auto"/>
          <w:sz w:val="22"/>
          <w:szCs w:val="22"/>
          <w:lang w:val="en-US"/>
        </w:rPr>
        <w:t>compared</w:t>
      </w:r>
      <w:r w:rsidR="0097592E">
        <w:rPr>
          <w:color w:val="auto"/>
          <w:sz w:val="22"/>
          <w:szCs w:val="22"/>
          <w:lang w:val="en-US"/>
        </w:rPr>
        <w:t xml:space="preserve"> </w:t>
      </w:r>
      <w:r w:rsidR="00263BF2">
        <w:rPr>
          <w:color w:val="auto"/>
          <w:sz w:val="22"/>
          <w:szCs w:val="22"/>
          <w:lang w:val="en-US"/>
        </w:rPr>
        <w:t>detection</w:t>
      </w:r>
      <w:r w:rsidR="00AA6FBE">
        <w:rPr>
          <w:color w:val="auto"/>
          <w:sz w:val="22"/>
          <w:szCs w:val="22"/>
          <w:lang w:val="en-US"/>
        </w:rPr>
        <w:t xml:space="preserve"> </w:t>
      </w:r>
      <w:r w:rsidR="00613548">
        <w:rPr>
          <w:color w:val="auto"/>
          <w:sz w:val="22"/>
          <w:szCs w:val="22"/>
          <w:lang w:val="en-US"/>
        </w:rPr>
        <w:t>using</w:t>
      </w:r>
      <w:r w:rsidR="00F81F09">
        <w:rPr>
          <w:color w:val="auto"/>
          <w:sz w:val="22"/>
          <w:szCs w:val="22"/>
          <w:lang w:val="en-US"/>
        </w:rPr>
        <w:t xml:space="preserve"> laboratory re</w:t>
      </w:r>
      <w:r w:rsidR="00613548">
        <w:rPr>
          <w:color w:val="auto"/>
          <w:sz w:val="22"/>
          <w:szCs w:val="22"/>
          <w:lang w:val="en-US"/>
        </w:rPr>
        <w:t>cords</w:t>
      </w:r>
      <w:r w:rsidR="00F81F09">
        <w:rPr>
          <w:color w:val="auto"/>
          <w:sz w:val="22"/>
          <w:szCs w:val="22"/>
          <w:lang w:val="en-US"/>
        </w:rPr>
        <w:t xml:space="preserve"> </w:t>
      </w:r>
      <w:r w:rsidR="00166ADB">
        <w:rPr>
          <w:color w:val="auto"/>
          <w:sz w:val="22"/>
          <w:szCs w:val="22"/>
          <w:lang w:val="en-US"/>
        </w:rPr>
        <w:t>to</w:t>
      </w:r>
      <w:r w:rsidR="00F81F09">
        <w:rPr>
          <w:color w:val="auto"/>
          <w:sz w:val="22"/>
          <w:szCs w:val="22"/>
          <w:lang w:val="en-US"/>
        </w:rPr>
        <w:t xml:space="preserve"> </w:t>
      </w:r>
      <w:r w:rsidR="00613548">
        <w:rPr>
          <w:color w:val="auto"/>
          <w:sz w:val="22"/>
          <w:szCs w:val="22"/>
          <w:lang w:val="en-US"/>
        </w:rPr>
        <w:t>detection using</w:t>
      </w:r>
      <w:r w:rsidR="005C3E79">
        <w:rPr>
          <w:color w:val="auto"/>
          <w:sz w:val="22"/>
          <w:szCs w:val="22"/>
          <w:lang w:val="en-US"/>
        </w:rPr>
        <w:t xml:space="preserve"> </w:t>
      </w:r>
      <w:r w:rsidR="00AA6D85">
        <w:rPr>
          <w:color w:val="auto"/>
          <w:sz w:val="22"/>
          <w:szCs w:val="22"/>
          <w:lang w:val="en-US"/>
        </w:rPr>
        <w:t xml:space="preserve">regional public health service (RPHS) mandatory notification </w:t>
      </w:r>
      <w:r w:rsidR="00613548">
        <w:rPr>
          <w:color w:val="auto"/>
          <w:sz w:val="22"/>
          <w:szCs w:val="22"/>
          <w:lang w:val="en-US"/>
        </w:rPr>
        <w:t>records</w:t>
      </w:r>
      <w:r w:rsidR="00166ADB">
        <w:rPr>
          <w:color w:val="auto"/>
          <w:sz w:val="22"/>
          <w:szCs w:val="22"/>
          <w:lang w:val="en-US"/>
        </w:rPr>
        <w:t>.</w:t>
      </w:r>
      <w:r w:rsidR="00FA58C4" w:rsidRPr="00FA58C4">
        <w:rPr>
          <w:color w:val="auto"/>
          <w:sz w:val="22"/>
          <w:szCs w:val="22"/>
          <w:lang w:val="en-US"/>
        </w:rPr>
        <w:t xml:space="preserve"> </w:t>
      </w:r>
    </w:p>
    <w:p w14:paraId="4209B300" w14:textId="39AF80DD" w:rsidR="003B170C" w:rsidRPr="00E86D3C" w:rsidRDefault="00526C13" w:rsidP="00526C13">
      <w:pPr>
        <w:pStyle w:val="Default"/>
        <w:rPr>
          <w:color w:val="auto"/>
          <w:sz w:val="22"/>
          <w:szCs w:val="22"/>
          <w:lang w:val="en-US"/>
        </w:rPr>
      </w:pPr>
      <w:r w:rsidRPr="00526C13">
        <w:rPr>
          <w:rFonts w:cstheme="minorBidi"/>
          <w:b/>
          <w:bCs/>
          <w:color w:val="auto"/>
          <w:sz w:val="22"/>
          <w:szCs w:val="22"/>
          <w:lang w:val="en-US"/>
        </w:rPr>
        <w:t xml:space="preserve">Methods </w:t>
      </w:r>
      <w:r w:rsidR="001227DA">
        <w:rPr>
          <w:color w:val="auto"/>
          <w:sz w:val="22"/>
          <w:szCs w:val="22"/>
          <w:lang w:val="en-US"/>
        </w:rPr>
        <w:t xml:space="preserve">Two local laboratories </w:t>
      </w:r>
      <w:r w:rsidR="00613548">
        <w:rPr>
          <w:color w:val="auto"/>
          <w:sz w:val="22"/>
          <w:szCs w:val="22"/>
          <w:lang w:val="en-US"/>
        </w:rPr>
        <w:t xml:space="preserve">identified </w:t>
      </w:r>
      <w:r w:rsidR="00DC4B1C">
        <w:rPr>
          <w:color w:val="auto"/>
          <w:sz w:val="22"/>
          <w:szCs w:val="22"/>
          <w:lang w:val="en-US"/>
        </w:rPr>
        <w:t xml:space="preserve">patients with positive </w:t>
      </w:r>
      <w:proofErr w:type="spellStart"/>
      <w:r w:rsidR="00DC4B1C">
        <w:rPr>
          <w:color w:val="auto"/>
          <w:sz w:val="22"/>
          <w:szCs w:val="22"/>
          <w:lang w:val="en-US"/>
        </w:rPr>
        <w:t>HBsAg</w:t>
      </w:r>
      <w:proofErr w:type="spellEnd"/>
      <w:r w:rsidR="00DC4B1C">
        <w:rPr>
          <w:color w:val="auto"/>
          <w:sz w:val="22"/>
          <w:szCs w:val="22"/>
          <w:lang w:val="en-US"/>
        </w:rPr>
        <w:t xml:space="preserve"> or anti-HCV </w:t>
      </w:r>
      <w:r w:rsidR="00613548">
        <w:rPr>
          <w:color w:val="auto"/>
          <w:sz w:val="22"/>
          <w:szCs w:val="22"/>
          <w:lang w:val="en-US"/>
        </w:rPr>
        <w:t xml:space="preserve">test </w:t>
      </w:r>
      <w:r w:rsidR="00DC4B1C">
        <w:rPr>
          <w:color w:val="auto"/>
          <w:sz w:val="22"/>
          <w:szCs w:val="22"/>
          <w:lang w:val="en-US"/>
        </w:rPr>
        <w:t xml:space="preserve">results </w:t>
      </w:r>
      <w:r w:rsidR="001227DA">
        <w:rPr>
          <w:color w:val="auto"/>
          <w:sz w:val="22"/>
          <w:szCs w:val="22"/>
          <w:lang w:val="en-US"/>
        </w:rPr>
        <w:t>i</w:t>
      </w:r>
      <w:r w:rsidR="00DC4B1C">
        <w:rPr>
          <w:color w:val="auto"/>
          <w:sz w:val="22"/>
          <w:szCs w:val="22"/>
          <w:lang w:val="en-US"/>
        </w:rPr>
        <w:t>n the past 15 years</w:t>
      </w:r>
      <w:r w:rsidR="001227DA">
        <w:rPr>
          <w:color w:val="auto"/>
          <w:sz w:val="22"/>
          <w:szCs w:val="22"/>
          <w:lang w:val="en-US"/>
        </w:rPr>
        <w:t xml:space="preserve"> in the region of Arnhem</w:t>
      </w:r>
      <w:r w:rsidR="00B7277E">
        <w:rPr>
          <w:color w:val="auto"/>
          <w:sz w:val="22"/>
          <w:szCs w:val="22"/>
          <w:lang w:val="en-US"/>
        </w:rPr>
        <w:t xml:space="preserve">. </w:t>
      </w:r>
      <w:r w:rsidR="00613548">
        <w:rPr>
          <w:color w:val="auto"/>
          <w:sz w:val="22"/>
          <w:szCs w:val="22"/>
          <w:lang w:val="en-US"/>
        </w:rPr>
        <w:t>The RPHS selected all notified patients for the same period</w:t>
      </w:r>
      <w:r w:rsidR="001227DA">
        <w:rPr>
          <w:color w:val="auto"/>
          <w:sz w:val="22"/>
          <w:szCs w:val="22"/>
          <w:lang w:val="en-US"/>
        </w:rPr>
        <w:t xml:space="preserve">. </w:t>
      </w:r>
      <w:r w:rsidR="00360A3F">
        <w:rPr>
          <w:color w:val="auto"/>
          <w:sz w:val="22"/>
          <w:szCs w:val="22"/>
          <w:lang w:val="en-US"/>
        </w:rPr>
        <w:t xml:space="preserve">Only patients of </w:t>
      </w:r>
      <w:r w:rsidR="005C3E79">
        <w:rPr>
          <w:color w:val="auto"/>
          <w:sz w:val="22"/>
          <w:szCs w:val="22"/>
          <w:lang w:val="en-US"/>
        </w:rPr>
        <w:t>general practitioners (GP</w:t>
      </w:r>
      <w:r w:rsidR="00086EFE">
        <w:rPr>
          <w:color w:val="auto"/>
          <w:sz w:val="22"/>
          <w:szCs w:val="22"/>
          <w:lang w:val="en-US"/>
        </w:rPr>
        <w:t>s</w:t>
      </w:r>
      <w:r w:rsidR="005C3E79">
        <w:rPr>
          <w:color w:val="auto"/>
          <w:sz w:val="22"/>
          <w:szCs w:val="22"/>
          <w:lang w:val="en-US"/>
        </w:rPr>
        <w:t xml:space="preserve">) </w:t>
      </w:r>
      <w:r w:rsidR="00194507">
        <w:rPr>
          <w:color w:val="auto"/>
          <w:sz w:val="22"/>
          <w:szCs w:val="22"/>
          <w:lang w:val="en-US"/>
        </w:rPr>
        <w:t>who agreed</w:t>
      </w:r>
      <w:r w:rsidR="00360A3F">
        <w:rPr>
          <w:color w:val="auto"/>
          <w:sz w:val="22"/>
          <w:szCs w:val="22"/>
          <w:lang w:val="en-US"/>
        </w:rPr>
        <w:t xml:space="preserve"> </w:t>
      </w:r>
      <w:r w:rsidR="005C3E79">
        <w:rPr>
          <w:color w:val="auto"/>
          <w:sz w:val="22"/>
          <w:szCs w:val="22"/>
          <w:lang w:val="en-US"/>
        </w:rPr>
        <w:t>to perform evaluation</w:t>
      </w:r>
      <w:r w:rsidR="00360A3F">
        <w:rPr>
          <w:color w:val="auto"/>
          <w:sz w:val="22"/>
          <w:szCs w:val="22"/>
          <w:lang w:val="en-US"/>
        </w:rPr>
        <w:t xml:space="preserve"> were included</w:t>
      </w:r>
      <w:r w:rsidR="005C3E79">
        <w:rPr>
          <w:color w:val="auto"/>
          <w:sz w:val="22"/>
          <w:szCs w:val="22"/>
          <w:lang w:val="en-US"/>
        </w:rPr>
        <w:t xml:space="preserve">. </w:t>
      </w:r>
      <w:r w:rsidR="00535857">
        <w:rPr>
          <w:color w:val="auto"/>
          <w:sz w:val="22"/>
          <w:szCs w:val="22"/>
          <w:lang w:val="en-US"/>
        </w:rPr>
        <w:t>L</w:t>
      </w:r>
      <w:r w:rsidR="00613548">
        <w:rPr>
          <w:color w:val="auto"/>
          <w:sz w:val="22"/>
          <w:szCs w:val="22"/>
          <w:lang w:val="en-US"/>
        </w:rPr>
        <w:t xml:space="preserve">aboratory and RPHS selections were compared and overlap was calculated. </w:t>
      </w:r>
      <w:r w:rsidR="004A7F4F">
        <w:rPr>
          <w:color w:val="auto"/>
          <w:sz w:val="22"/>
          <w:szCs w:val="22"/>
          <w:lang w:val="en-US"/>
        </w:rPr>
        <w:t xml:space="preserve">Evaluation was performed by GPs: patients with </w:t>
      </w:r>
      <w:r w:rsidR="00B6394C">
        <w:rPr>
          <w:color w:val="auto"/>
          <w:sz w:val="22"/>
          <w:szCs w:val="22"/>
          <w:lang w:val="en-US"/>
        </w:rPr>
        <w:t>active hepatitis were referred to a hospital</w:t>
      </w:r>
      <w:r w:rsidR="004A7F4F">
        <w:rPr>
          <w:color w:val="auto"/>
          <w:sz w:val="22"/>
          <w:szCs w:val="22"/>
          <w:lang w:val="en-US"/>
        </w:rPr>
        <w:t xml:space="preserve"> and with </w:t>
      </w:r>
      <w:r w:rsidR="00B6394C">
        <w:rPr>
          <w:color w:val="auto"/>
          <w:sz w:val="22"/>
          <w:szCs w:val="22"/>
          <w:lang w:val="en-US"/>
        </w:rPr>
        <w:t>inactive</w:t>
      </w:r>
      <w:r w:rsidR="004A7F4F">
        <w:rPr>
          <w:color w:val="auto"/>
          <w:sz w:val="22"/>
          <w:szCs w:val="22"/>
          <w:lang w:val="en-US"/>
        </w:rPr>
        <w:t xml:space="preserve"> hepatitis were </w:t>
      </w:r>
      <w:r w:rsidR="00B6394C">
        <w:rPr>
          <w:color w:val="auto"/>
          <w:sz w:val="22"/>
          <w:szCs w:val="22"/>
          <w:lang w:val="en-US"/>
        </w:rPr>
        <w:t>followed up</w:t>
      </w:r>
      <w:r w:rsidR="003B170C">
        <w:rPr>
          <w:color w:val="auto"/>
          <w:sz w:val="22"/>
          <w:szCs w:val="22"/>
          <w:lang w:val="en-US"/>
        </w:rPr>
        <w:t xml:space="preserve">.  </w:t>
      </w:r>
    </w:p>
    <w:p w14:paraId="673CC4FD" w14:textId="5A8C3EF9" w:rsidR="003B170C" w:rsidRDefault="00526C13" w:rsidP="00526C13">
      <w:pPr>
        <w:pStyle w:val="Default"/>
        <w:rPr>
          <w:bCs/>
          <w:color w:val="auto"/>
          <w:sz w:val="22"/>
          <w:szCs w:val="22"/>
          <w:lang w:val="en-US"/>
        </w:rPr>
      </w:pPr>
      <w:r w:rsidRPr="00BB756C">
        <w:rPr>
          <w:b/>
          <w:bCs/>
          <w:color w:val="auto"/>
          <w:sz w:val="22"/>
          <w:szCs w:val="22"/>
          <w:lang w:val="en-US"/>
        </w:rPr>
        <w:t xml:space="preserve">Results </w:t>
      </w:r>
      <w:r w:rsidR="004A7F4F">
        <w:rPr>
          <w:bCs/>
          <w:color w:val="auto"/>
          <w:sz w:val="22"/>
          <w:szCs w:val="22"/>
          <w:lang w:val="en-US"/>
        </w:rPr>
        <w:t>In total,</w:t>
      </w:r>
      <w:r w:rsidR="00BE25CB" w:rsidRPr="00BE25CB">
        <w:rPr>
          <w:bCs/>
          <w:color w:val="auto"/>
          <w:sz w:val="22"/>
          <w:szCs w:val="22"/>
          <w:lang w:val="en-US"/>
        </w:rPr>
        <w:t xml:space="preserve"> 282 </w:t>
      </w:r>
      <w:proofErr w:type="spellStart"/>
      <w:r w:rsidR="00BE25CB" w:rsidRPr="00BE25CB">
        <w:rPr>
          <w:bCs/>
          <w:color w:val="auto"/>
          <w:sz w:val="22"/>
          <w:szCs w:val="22"/>
          <w:lang w:val="en-US"/>
        </w:rPr>
        <w:t>hepB</w:t>
      </w:r>
      <w:proofErr w:type="spellEnd"/>
      <w:r w:rsidR="00BE25CB" w:rsidRPr="00BE25CB">
        <w:rPr>
          <w:bCs/>
          <w:color w:val="auto"/>
          <w:sz w:val="22"/>
          <w:szCs w:val="22"/>
          <w:lang w:val="en-US"/>
        </w:rPr>
        <w:t xml:space="preserve"> and 53 </w:t>
      </w:r>
      <w:proofErr w:type="spellStart"/>
      <w:r w:rsidR="00BE25CB" w:rsidRPr="00BE25CB">
        <w:rPr>
          <w:bCs/>
          <w:color w:val="auto"/>
          <w:sz w:val="22"/>
          <w:szCs w:val="22"/>
          <w:lang w:val="en-US"/>
        </w:rPr>
        <w:t>hep</w:t>
      </w:r>
      <w:r w:rsidR="00194507">
        <w:rPr>
          <w:bCs/>
          <w:color w:val="auto"/>
          <w:sz w:val="22"/>
          <w:szCs w:val="22"/>
          <w:lang w:val="en-US"/>
        </w:rPr>
        <w:t>C</w:t>
      </w:r>
      <w:proofErr w:type="spellEnd"/>
      <w:r w:rsidR="00194507">
        <w:rPr>
          <w:bCs/>
          <w:color w:val="auto"/>
          <w:sz w:val="22"/>
          <w:szCs w:val="22"/>
          <w:lang w:val="en-US"/>
        </w:rPr>
        <w:t xml:space="preserve"> patients were detected</w:t>
      </w:r>
      <w:r w:rsidR="007E4A18">
        <w:rPr>
          <w:bCs/>
          <w:color w:val="auto"/>
          <w:sz w:val="22"/>
          <w:szCs w:val="22"/>
          <w:lang w:val="en-US"/>
        </w:rPr>
        <w:t>:</w:t>
      </w:r>
      <w:r w:rsidR="00E45795">
        <w:rPr>
          <w:bCs/>
          <w:color w:val="auto"/>
          <w:sz w:val="22"/>
          <w:szCs w:val="22"/>
          <w:lang w:val="en-US"/>
        </w:rPr>
        <w:t xml:space="preserve"> </w:t>
      </w:r>
      <w:r w:rsidR="00BE25CB" w:rsidRPr="00BE25CB">
        <w:rPr>
          <w:bCs/>
          <w:color w:val="auto"/>
          <w:sz w:val="22"/>
          <w:szCs w:val="22"/>
          <w:lang w:val="en-US"/>
        </w:rPr>
        <w:t>2</w:t>
      </w:r>
      <w:r w:rsidR="00BE25CB">
        <w:rPr>
          <w:bCs/>
          <w:color w:val="auto"/>
          <w:sz w:val="22"/>
          <w:szCs w:val="22"/>
          <w:lang w:val="en-US"/>
        </w:rPr>
        <w:t>73</w:t>
      </w:r>
      <w:r w:rsidR="00A441F0">
        <w:rPr>
          <w:bCs/>
          <w:color w:val="auto"/>
          <w:sz w:val="22"/>
          <w:szCs w:val="22"/>
          <w:lang w:val="en-US"/>
        </w:rPr>
        <w:t>/282</w:t>
      </w:r>
      <w:r w:rsidR="00BE25CB">
        <w:rPr>
          <w:bCs/>
          <w:color w:val="auto"/>
          <w:sz w:val="22"/>
          <w:szCs w:val="22"/>
          <w:lang w:val="en-US"/>
        </w:rPr>
        <w:t>(97%) and 49</w:t>
      </w:r>
      <w:r w:rsidR="00A441F0">
        <w:rPr>
          <w:bCs/>
          <w:color w:val="auto"/>
          <w:sz w:val="22"/>
          <w:szCs w:val="22"/>
          <w:lang w:val="en-US"/>
        </w:rPr>
        <w:t>/53</w:t>
      </w:r>
      <w:r w:rsidR="00BE25CB">
        <w:rPr>
          <w:bCs/>
          <w:color w:val="auto"/>
          <w:sz w:val="22"/>
          <w:szCs w:val="22"/>
          <w:lang w:val="en-US"/>
        </w:rPr>
        <w:t xml:space="preserve">(92%) </w:t>
      </w:r>
      <w:r w:rsidR="007F32B3">
        <w:rPr>
          <w:bCs/>
          <w:color w:val="auto"/>
          <w:sz w:val="22"/>
          <w:szCs w:val="22"/>
          <w:lang w:val="en-US"/>
        </w:rPr>
        <w:t xml:space="preserve">by </w:t>
      </w:r>
      <w:r w:rsidR="00653130">
        <w:rPr>
          <w:bCs/>
          <w:color w:val="auto"/>
          <w:sz w:val="22"/>
          <w:szCs w:val="22"/>
          <w:lang w:val="en-US"/>
        </w:rPr>
        <w:t>a</w:t>
      </w:r>
      <w:r w:rsidR="00A441F0">
        <w:rPr>
          <w:bCs/>
          <w:color w:val="auto"/>
          <w:sz w:val="22"/>
          <w:szCs w:val="22"/>
          <w:lang w:val="en-US"/>
        </w:rPr>
        <w:t xml:space="preserve"> laboratory,</w:t>
      </w:r>
      <w:r w:rsidR="007F32B3">
        <w:rPr>
          <w:bCs/>
          <w:color w:val="auto"/>
          <w:sz w:val="22"/>
          <w:szCs w:val="22"/>
          <w:lang w:val="en-US"/>
        </w:rPr>
        <w:t xml:space="preserve"> 91</w:t>
      </w:r>
      <w:r w:rsidR="00A441F0">
        <w:rPr>
          <w:bCs/>
          <w:color w:val="auto"/>
          <w:sz w:val="22"/>
          <w:szCs w:val="22"/>
          <w:lang w:val="en-US"/>
        </w:rPr>
        <w:t>/282</w:t>
      </w:r>
      <w:r w:rsidR="007F32B3">
        <w:rPr>
          <w:bCs/>
          <w:color w:val="auto"/>
          <w:sz w:val="22"/>
          <w:szCs w:val="22"/>
          <w:lang w:val="en-US"/>
        </w:rPr>
        <w:t>(</w:t>
      </w:r>
      <w:r w:rsidR="007078A4">
        <w:rPr>
          <w:bCs/>
          <w:color w:val="auto"/>
          <w:sz w:val="22"/>
          <w:szCs w:val="22"/>
          <w:lang w:val="en-US"/>
        </w:rPr>
        <w:t>32</w:t>
      </w:r>
      <w:r w:rsidR="007F32B3">
        <w:rPr>
          <w:bCs/>
          <w:color w:val="auto"/>
          <w:sz w:val="22"/>
          <w:szCs w:val="22"/>
          <w:lang w:val="en-US"/>
        </w:rPr>
        <w:t>%) and 12</w:t>
      </w:r>
      <w:r w:rsidR="00A441F0">
        <w:rPr>
          <w:bCs/>
          <w:color w:val="auto"/>
          <w:sz w:val="22"/>
          <w:szCs w:val="22"/>
          <w:lang w:val="en-US"/>
        </w:rPr>
        <w:t>/53</w:t>
      </w:r>
      <w:r w:rsidR="007F32B3">
        <w:rPr>
          <w:bCs/>
          <w:color w:val="auto"/>
          <w:sz w:val="22"/>
          <w:szCs w:val="22"/>
          <w:lang w:val="en-US"/>
        </w:rPr>
        <w:t>(</w:t>
      </w:r>
      <w:r w:rsidR="007078A4">
        <w:rPr>
          <w:bCs/>
          <w:color w:val="auto"/>
          <w:sz w:val="22"/>
          <w:szCs w:val="22"/>
          <w:lang w:val="en-US"/>
        </w:rPr>
        <w:t>23</w:t>
      </w:r>
      <w:r w:rsidR="007F32B3">
        <w:rPr>
          <w:bCs/>
          <w:color w:val="auto"/>
          <w:sz w:val="22"/>
          <w:szCs w:val="22"/>
          <w:lang w:val="en-US"/>
        </w:rPr>
        <w:t xml:space="preserve">%) by the </w:t>
      </w:r>
      <w:r w:rsidR="00360A3F">
        <w:rPr>
          <w:bCs/>
          <w:color w:val="auto"/>
          <w:sz w:val="22"/>
          <w:szCs w:val="22"/>
          <w:lang w:val="en-US"/>
        </w:rPr>
        <w:t>RPHS</w:t>
      </w:r>
      <w:r w:rsidR="007F32B3">
        <w:rPr>
          <w:bCs/>
          <w:color w:val="auto"/>
          <w:sz w:val="22"/>
          <w:szCs w:val="22"/>
          <w:lang w:val="en-US"/>
        </w:rPr>
        <w:t>.</w:t>
      </w:r>
      <w:r w:rsidR="000A5518">
        <w:rPr>
          <w:bCs/>
          <w:color w:val="auto"/>
          <w:sz w:val="22"/>
          <w:szCs w:val="22"/>
          <w:lang w:val="en-US"/>
        </w:rPr>
        <w:t xml:space="preserve"> </w:t>
      </w:r>
      <w:r w:rsidR="00A441F0">
        <w:rPr>
          <w:bCs/>
          <w:color w:val="auto"/>
          <w:sz w:val="22"/>
          <w:szCs w:val="22"/>
          <w:lang w:val="en-US"/>
        </w:rPr>
        <w:t>E</w:t>
      </w:r>
      <w:r w:rsidR="00D469AF">
        <w:rPr>
          <w:bCs/>
          <w:color w:val="auto"/>
          <w:sz w:val="22"/>
          <w:szCs w:val="22"/>
          <w:lang w:val="en-US"/>
        </w:rPr>
        <w:t xml:space="preserve">valuation was not needed in </w:t>
      </w:r>
      <w:r w:rsidR="00194507">
        <w:rPr>
          <w:bCs/>
          <w:color w:val="auto"/>
          <w:sz w:val="22"/>
          <w:szCs w:val="22"/>
          <w:lang w:val="en-US"/>
        </w:rPr>
        <w:t>121</w:t>
      </w:r>
      <w:r w:rsidR="00A441F0">
        <w:rPr>
          <w:bCs/>
          <w:color w:val="auto"/>
          <w:sz w:val="22"/>
          <w:szCs w:val="22"/>
          <w:lang w:val="en-US"/>
        </w:rPr>
        <w:t>/282</w:t>
      </w:r>
      <w:r w:rsidR="00194507">
        <w:rPr>
          <w:bCs/>
          <w:color w:val="auto"/>
          <w:sz w:val="22"/>
          <w:szCs w:val="22"/>
          <w:lang w:val="en-US"/>
        </w:rPr>
        <w:t xml:space="preserve">(43%) </w:t>
      </w:r>
      <w:proofErr w:type="spellStart"/>
      <w:r w:rsidR="00D469AF">
        <w:rPr>
          <w:bCs/>
          <w:color w:val="auto"/>
          <w:sz w:val="22"/>
          <w:szCs w:val="22"/>
          <w:lang w:val="en-US"/>
        </w:rPr>
        <w:t>hepB</w:t>
      </w:r>
      <w:proofErr w:type="spellEnd"/>
      <w:r w:rsidR="00D469AF">
        <w:rPr>
          <w:bCs/>
          <w:color w:val="auto"/>
          <w:sz w:val="22"/>
          <w:szCs w:val="22"/>
          <w:lang w:val="en-US"/>
        </w:rPr>
        <w:t xml:space="preserve"> patients</w:t>
      </w:r>
      <w:r w:rsidR="00194507">
        <w:rPr>
          <w:bCs/>
          <w:color w:val="auto"/>
          <w:sz w:val="22"/>
          <w:szCs w:val="22"/>
          <w:lang w:val="en-US"/>
        </w:rPr>
        <w:t xml:space="preserve">, </w:t>
      </w:r>
      <w:r w:rsidR="005B2C47">
        <w:rPr>
          <w:bCs/>
          <w:color w:val="auto"/>
          <w:sz w:val="22"/>
          <w:szCs w:val="22"/>
          <w:lang w:val="en-US"/>
        </w:rPr>
        <w:t>mainly because they al</w:t>
      </w:r>
      <w:bookmarkStart w:id="0" w:name="_GoBack"/>
      <w:bookmarkEnd w:id="0"/>
      <w:r w:rsidR="005B2C47">
        <w:rPr>
          <w:bCs/>
          <w:color w:val="auto"/>
          <w:sz w:val="22"/>
          <w:szCs w:val="22"/>
          <w:lang w:val="en-US"/>
        </w:rPr>
        <w:t xml:space="preserve">ready were under medical </w:t>
      </w:r>
      <w:r w:rsidR="00194507">
        <w:rPr>
          <w:bCs/>
          <w:color w:val="auto"/>
          <w:sz w:val="22"/>
          <w:szCs w:val="22"/>
          <w:lang w:val="en-US"/>
        </w:rPr>
        <w:t>supervision</w:t>
      </w:r>
      <w:r w:rsidR="007E4A18">
        <w:rPr>
          <w:bCs/>
          <w:color w:val="auto"/>
          <w:sz w:val="22"/>
          <w:szCs w:val="22"/>
          <w:lang w:val="en-US"/>
        </w:rPr>
        <w:t xml:space="preserve">, and not </w:t>
      </w:r>
      <w:r w:rsidR="004A7F4F">
        <w:rPr>
          <w:bCs/>
          <w:color w:val="auto"/>
          <w:sz w:val="22"/>
          <w:szCs w:val="22"/>
          <w:lang w:val="en-US"/>
        </w:rPr>
        <w:t xml:space="preserve">possible in </w:t>
      </w:r>
      <w:r w:rsidR="00621976">
        <w:rPr>
          <w:bCs/>
          <w:color w:val="auto"/>
          <w:sz w:val="22"/>
          <w:szCs w:val="22"/>
          <w:lang w:val="en-US"/>
        </w:rPr>
        <w:t>102</w:t>
      </w:r>
      <w:r w:rsidR="00A441F0">
        <w:rPr>
          <w:bCs/>
          <w:color w:val="auto"/>
          <w:sz w:val="22"/>
          <w:szCs w:val="22"/>
          <w:lang w:val="en-US"/>
        </w:rPr>
        <w:t>/282</w:t>
      </w:r>
      <w:r w:rsidR="009565EB">
        <w:rPr>
          <w:bCs/>
          <w:color w:val="auto"/>
          <w:sz w:val="22"/>
          <w:szCs w:val="22"/>
          <w:lang w:val="en-US"/>
        </w:rPr>
        <w:t>(36%)</w:t>
      </w:r>
      <w:r w:rsidR="00621976">
        <w:rPr>
          <w:bCs/>
          <w:color w:val="auto"/>
          <w:sz w:val="22"/>
          <w:szCs w:val="22"/>
          <w:lang w:val="en-US"/>
        </w:rPr>
        <w:t xml:space="preserve"> </w:t>
      </w:r>
      <w:r w:rsidR="00D469AF">
        <w:rPr>
          <w:bCs/>
          <w:color w:val="auto"/>
          <w:sz w:val="22"/>
          <w:szCs w:val="22"/>
          <w:lang w:val="en-US"/>
        </w:rPr>
        <w:t xml:space="preserve">patients </w:t>
      </w:r>
      <w:r w:rsidR="00621976">
        <w:rPr>
          <w:bCs/>
          <w:color w:val="auto"/>
          <w:sz w:val="22"/>
          <w:szCs w:val="22"/>
          <w:lang w:val="en-US"/>
        </w:rPr>
        <w:t>for</w:t>
      </w:r>
      <w:r w:rsidR="005B2C47">
        <w:rPr>
          <w:bCs/>
          <w:color w:val="auto"/>
          <w:sz w:val="22"/>
          <w:szCs w:val="22"/>
          <w:lang w:val="en-US"/>
        </w:rPr>
        <w:t xml:space="preserve"> several reasons.</w:t>
      </w:r>
      <w:r w:rsidR="00E45795" w:rsidRPr="00E45795">
        <w:rPr>
          <w:bCs/>
          <w:color w:val="auto"/>
          <w:sz w:val="22"/>
          <w:szCs w:val="22"/>
          <w:lang w:val="en-US"/>
        </w:rPr>
        <w:t xml:space="preserve"> </w:t>
      </w:r>
      <w:r w:rsidR="00E45795">
        <w:rPr>
          <w:bCs/>
          <w:color w:val="auto"/>
          <w:sz w:val="22"/>
          <w:szCs w:val="22"/>
          <w:lang w:val="en-US"/>
        </w:rPr>
        <w:t xml:space="preserve">Out of 59 </w:t>
      </w:r>
      <w:proofErr w:type="spellStart"/>
      <w:r w:rsidR="00D469AF">
        <w:rPr>
          <w:bCs/>
          <w:color w:val="auto"/>
          <w:sz w:val="22"/>
          <w:szCs w:val="22"/>
          <w:lang w:val="en-US"/>
        </w:rPr>
        <w:t>hepB</w:t>
      </w:r>
      <w:proofErr w:type="spellEnd"/>
      <w:r w:rsidR="00D469AF">
        <w:rPr>
          <w:bCs/>
          <w:color w:val="auto"/>
          <w:sz w:val="22"/>
          <w:szCs w:val="22"/>
          <w:lang w:val="en-US"/>
        </w:rPr>
        <w:t xml:space="preserve"> </w:t>
      </w:r>
      <w:r w:rsidR="00E45795">
        <w:rPr>
          <w:bCs/>
          <w:color w:val="auto"/>
          <w:sz w:val="22"/>
          <w:szCs w:val="22"/>
          <w:lang w:val="en-US"/>
        </w:rPr>
        <w:t xml:space="preserve">patients with </w:t>
      </w:r>
      <w:r w:rsidR="00621976">
        <w:rPr>
          <w:bCs/>
          <w:color w:val="auto"/>
          <w:sz w:val="22"/>
          <w:szCs w:val="22"/>
          <w:lang w:val="en-US"/>
        </w:rPr>
        <w:t xml:space="preserve">a known </w:t>
      </w:r>
      <w:r w:rsidR="00E45795">
        <w:rPr>
          <w:bCs/>
          <w:color w:val="auto"/>
          <w:sz w:val="22"/>
          <w:szCs w:val="22"/>
          <w:lang w:val="en-US"/>
        </w:rPr>
        <w:t xml:space="preserve">indication for evaluation, 22 (37%) were evaluated: 7 were referred to the hospital and 15 </w:t>
      </w:r>
      <w:r w:rsidR="00A441F0">
        <w:rPr>
          <w:bCs/>
          <w:color w:val="auto"/>
          <w:sz w:val="22"/>
          <w:szCs w:val="22"/>
          <w:lang w:val="en-US"/>
        </w:rPr>
        <w:t xml:space="preserve">were </w:t>
      </w:r>
      <w:r w:rsidR="00E45795">
        <w:rPr>
          <w:bCs/>
          <w:color w:val="auto"/>
          <w:sz w:val="22"/>
          <w:szCs w:val="22"/>
          <w:lang w:val="en-US"/>
        </w:rPr>
        <w:t>followed up</w:t>
      </w:r>
      <w:r w:rsidR="004A7F4F">
        <w:rPr>
          <w:bCs/>
          <w:color w:val="auto"/>
          <w:sz w:val="22"/>
          <w:szCs w:val="22"/>
          <w:lang w:val="en-US"/>
        </w:rPr>
        <w:t xml:space="preserve">. </w:t>
      </w:r>
      <w:r w:rsidR="00A441F0">
        <w:rPr>
          <w:bCs/>
          <w:color w:val="auto"/>
          <w:sz w:val="22"/>
          <w:szCs w:val="22"/>
          <w:lang w:val="en-US"/>
        </w:rPr>
        <w:t xml:space="preserve">One </w:t>
      </w:r>
      <w:proofErr w:type="spellStart"/>
      <w:r w:rsidR="00E45795">
        <w:rPr>
          <w:bCs/>
          <w:color w:val="auto"/>
          <w:sz w:val="22"/>
          <w:szCs w:val="22"/>
          <w:lang w:val="en-US"/>
        </w:rPr>
        <w:t>hepC</w:t>
      </w:r>
      <w:proofErr w:type="spellEnd"/>
      <w:r w:rsidR="00E45795">
        <w:rPr>
          <w:bCs/>
          <w:color w:val="auto"/>
          <w:sz w:val="22"/>
          <w:szCs w:val="22"/>
          <w:lang w:val="en-US"/>
        </w:rPr>
        <w:t xml:space="preserve"> patient</w:t>
      </w:r>
      <w:r w:rsidR="00A441F0">
        <w:rPr>
          <w:bCs/>
          <w:color w:val="auto"/>
          <w:sz w:val="22"/>
          <w:szCs w:val="22"/>
          <w:lang w:val="en-US"/>
        </w:rPr>
        <w:t xml:space="preserve"> had a known</w:t>
      </w:r>
      <w:r w:rsidR="00E45795">
        <w:rPr>
          <w:bCs/>
          <w:color w:val="auto"/>
          <w:sz w:val="22"/>
          <w:szCs w:val="22"/>
          <w:lang w:val="en-US"/>
        </w:rPr>
        <w:t xml:space="preserve"> </w:t>
      </w:r>
      <w:r w:rsidR="00A441F0">
        <w:rPr>
          <w:bCs/>
          <w:color w:val="auto"/>
          <w:sz w:val="22"/>
          <w:szCs w:val="22"/>
          <w:lang w:val="en-US"/>
        </w:rPr>
        <w:t>indication</w:t>
      </w:r>
      <w:r w:rsidR="00A441F0">
        <w:rPr>
          <w:bCs/>
          <w:color w:val="auto"/>
          <w:sz w:val="22"/>
          <w:szCs w:val="22"/>
          <w:lang w:val="en-US"/>
        </w:rPr>
        <w:t xml:space="preserve"> for evaluation. </w:t>
      </w:r>
      <w:r w:rsidR="00E45795">
        <w:rPr>
          <w:bCs/>
          <w:color w:val="auto"/>
          <w:sz w:val="22"/>
          <w:szCs w:val="22"/>
          <w:lang w:val="en-US"/>
        </w:rPr>
        <w:t xml:space="preserve"> </w:t>
      </w:r>
    </w:p>
    <w:p w14:paraId="1E2CCEE9" w14:textId="5216FE6B" w:rsidR="00E45795" w:rsidRDefault="00526C13" w:rsidP="00E45795">
      <w:pPr>
        <w:pStyle w:val="Default"/>
        <w:rPr>
          <w:bCs/>
          <w:color w:val="auto"/>
          <w:sz w:val="22"/>
          <w:szCs w:val="22"/>
          <w:lang w:val="en-US"/>
        </w:rPr>
      </w:pPr>
      <w:r w:rsidRPr="00526C13">
        <w:rPr>
          <w:b/>
          <w:bCs/>
          <w:color w:val="auto"/>
          <w:sz w:val="22"/>
          <w:szCs w:val="22"/>
          <w:lang w:val="en-US"/>
        </w:rPr>
        <w:t xml:space="preserve">Conclusion </w:t>
      </w:r>
      <w:r w:rsidR="00E45795">
        <w:rPr>
          <w:bCs/>
          <w:color w:val="auto"/>
          <w:sz w:val="22"/>
          <w:szCs w:val="22"/>
          <w:lang w:val="en-US"/>
        </w:rPr>
        <w:t xml:space="preserve">Detection and evaluation </w:t>
      </w:r>
      <w:r w:rsidR="00B6394C">
        <w:rPr>
          <w:bCs/>
          <w:color w:val="auto"/>
          <w:sz w:val="22"/>
          <w:szCs w:val="22"/>
          <w:lang w:val="en-US"/>
        </w:rPr>
        <w:t>o</w:t>
      </w:r>
      <w:r w:rsidR="00E45795">
        <w:rPr>
          <w:bCs/>
          <w:color w:val="auto"/>
          <w:sz w:val="22"/>
          <w:szCs w:val="22"/>
          <w:lang w:val="en-US"/>
        </w:rPr>
        <w:t>f chronic hep</w:t>
      </w:r>
      <w:r w:rsidR="00D469AF">
        <w:rPr>
          <w:bCs/>
          <w:color w:val="auto"/>
          <w:sz w:val="22"/>
          <w:szCs w:val="22"/>
          <w:lang w:val="en-US"/>
        </w:rPr>
        <w:t xml:space="preserve">atitis </w:t>
      </w:r>
      <w:r w:rsidR="00E45795">
        <w:rPr>
          <w:bCs/>
          <w:color w:val="auto"/>
          <w:sz w:val="22"/>
          <w:szCs w:val="22"/>
          <w:lang w:val="en-US"/>
        </w:rPr>
        <w:t xml:space="preserve">B and C patients in the region of Arnhem showed that these methods are effective in detecting patients with an indication for </w:t>
      </w:r>
      <w:r w:rsidR="00B6394C">
        <w:rPr>
          <w:bCs/>
          <w:color w:val="auto"/>
          <w:sz w:val="22"/>
          <w:szCs w:val="22"/>
          <w:lang w:val="en-US"/>
        </w:rPr>
        <w:t>treatment</w:t>
      </w:r>
      <w:r w:rsidR="00E45795">
        <w:rPr>
          <w:bCs/>
          <w:color w:val="auto"/>
          <w:sz w:val="22"/>
          <w:szCs w:val="22"/>
          <w:lang w:val="en-US"/>
        </w:rPr>
        <w:t>.</w:t>
      </w:r>
      <w:r w:rsidR="00444FAE">
        <w:rPr>
          <w:bCs/>
          <w:color w:val="auto"/>
          <w:sz w:val="22"/>
          <w:szCs w:val="22"/>
          <w:lang w:val="en-US"/>
        </w:rPr>
        <w:t xml:space="preserve"> Detection by laboratory records</w:t>
      </w:r>
      <w:r w:rsidR="00E45795">
        <w:rPr>
          <w:bCs/>
          <w:color w:val="auto"/>
          <w:sz w:val="22"/>
          <w:szCs w:val="22"/>
          <w:lang w:val="en-US"/>
        </w:rPr>
        <w:t xml:space="preserve"> was more ef</w:t>
      </w:r>
      <w:r w:rsidR="00444FAE">
        <w:rPr>
          <w:bCs/>
          <w:color w:val="auto"/>
          <w:sz w:val="22"/>
          <w:szCs w:val="22"/>
          <w:lang w:val="en-US"/>
        </w:rPr>
        <w:t>fective</w:t>
      </w:r>
      <w:r w:rsidR="00E45795">
        <w:rPr>
          <w:bCs/>
          <w:color w:val="auto"/>
          <w:sz w:val="22"/>
          <w:szCs w:val="22"/>
          <w:lang w:val="en-US"/>
        </w:rPr>
        <w:t xml:space="preserve"> than detection using RPHS notification records. We recommend RPHSs to collaborate with local laboratories to detect chronic hep</w:t>
      </w:r>
      <w:r w:rsidR="00D469AF">
        <w:rPr>
          <w:bCs/>
          <w:color w:val="auto"/>
          <w:sz w:val="22"/>
          <w:szCs w:val="22"/>
          <w:lang w:val="en-US"/>
        </w:rPr>
        <w:t xml:space="preserve">atitis </w:t>
      </w:r>
      <w:r w:rsidR="00E45795">
        <w:rPr>
          <w:bCs/>
          <w:color w:val="auto"/>
          <w:sz w:val="22"/>
          <w:szCs w:val="22"/>
          <w:lang w:val="en-US"/>
        </w:rPr>
        <w:t xml:space="preserve">B and C patients and support GPs by the evaluation process.   </w:t>
      </w:r>
    </w:p>
    <w:p w14:paraId="11857FE2" w14:textId="77777777" w:rsidR="00DC4B1C" w:rsidRDefault="00DC4B1C" w:rsidP="00526C13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4987AB96" w14:textId="77777777" w:rsidR="00DC4B1C" w:rsidRDefault="00DC4B1C" w:rsidP="00526C13">
      <w:pPr>
        <w:pStyle w:val="Default"/>
        <w:rPr>
          <w:bCs/>
          <w:color w:val="auto"/>
          <w:sz w:val="22"/>
          <w:szCs w:val="22"/>
          <w:lang w:val="en-US"/>
        </w:rPr>
      </w:pPr>
    </w:p>
    <w:p w14:paraId="74CE72F4" w14:textId="77777777" w:rsidR="00526C13" w:rsidRPr="008A386B" w:rsidRDefault="00526C13" w:rsidP="00526C13">
      <w:pPr>
        <w:pStyle w:val="Default"/>
        <w:rPr>
          <w:bCs/>
          <w:color w:val="auto"/>
          <w:sz w:val="22"/>
          <w:szCs w:val="22"/>
          <w:lang w:val="en-US"/>
        </w:rPr>
      </w:pPr>
      <w:r w:rsidRPr="00BE25CB">
        <w:rPr>
          <w:b/>
          <w:bCs/>
          <w:color w:val="auto"/>
          <w:sz w:val="22"/>
          <w:szCs w:val="22"/>
          <w:lang w:val="en-US"/>
        </w:rPr>
        <w:t xml:space="preserve">Main </w:t>
      </w:r>
      <w:r w:rsidRPr="00E45795">
        <w:rPr>
          <w:b/>
          <w:bCs/>
          <w:color w:val="auto"/>
          <w:sz w:val="22"/>
          <w:szCs w:val="22"/>
          <w:lang w:val="en-US"/>
        </w:rPr>
        <w:t>messages</w:t>
      </w:r>
      <w:r w:rsidRPr="008A386B">
        <w:rPr>
          <w:bCs/>
          <w:color w:val="auto"/>
          <w:sz w:val="22"/>
          <w:szCs w:val="22"/>
          <w:lang w:val="en-US"/>
        </w:rPr>
        <w:t xml:space="preserve">: </w:t>
      </w:r>
    </w:p>
    <w:p w14:paraId="2F1CF633" w14:textId="77777777" w:rsidR="002866F8" w:rsidRPr="008A386B" w:rsidRDefault="002866F8" w:rsidP="002866F8">
      <w:pPr>
        <w:pStyle w:val="Default"/>
        <w:numPr>
          <w:ilvl w:val="0"/>
          <w:numId w:val="2"/>
        </w:numPr>
        <w:rPr>
          <w:color w:val="auto"/>
          <w:sz w:val="22"/>
          <w:szCs w:val="22"/>
          <w:lang w:val="en-US"/>
        </w:rPr>
      </w:pPr>
      <w:r w:rsidRPr="008A386B">
        <w:rPr>
          <w:bCs/>
          <w:color w:val="auto"/>
          <w:sz w:val="22"/>
          <w:szCs w:val="22"/>
          <w:lang w:val="en-US"/>
        </w:rPr>
        <w:t>Detection of chronic hepatitis B and C patients who were lost to follow up, enables evaluation of the indication for current treatment options.</w:t>
      </w:r>
    </w:p>
    <w:p w14:paraId="051DCA3D" w14:textId="0EFD73CC" w:rsidR="00526C13" w:rsidRPr="008A386B" w:rsidRDefault="004A7F4F" w:rsidP="002866F8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Public health services</w:t>
      </w:r>
      <w:r w:rsidR="00AA6FBE" w:rsidRPr="008A386B">
        <w:rPr>
          <w:lang w:val="en-US"/>
        </w:rPr>
        <w:t xml:space="preserve"> </w:t>
      </w:r>
      <w:r w:rsidR="00613548">
        <w:rPr>
          <w:lang w:val="en-US"/>
        </w:rPr>
        <w:t xml:space="preserve">can collaborate with </w:t>
      </w:r>
      <w:r w:rsidR="00AA6FBE" w:rsidRPr="008A386B">
        <w:rPr>
          <w:lang w:val="en-US"/>
        </w:rPr>
        <w:t>laboratories to detect chronic hepatitis B and C patients in their archives</w:t>
      </w:r>
      <w:r w:rsidR="008A386B">
        <w:rPr>
          <w:lang w:val="en-US"/>
        </w:rPr>
        <w:t xml:space="preserve"> and inform their general practitioners. </w:t>
      </w:r>
    </w:p>
    <w:p w14:paraId="62E4331E" w14:textId="77777777" w:rsidR="002866F8" w:rsidRPr="008A386B" w:rsidRDefault="002866F8" w:rsidP="00526C13">
      <w:pPr>
        <w:rPr>
          <w:lang w:val="en-US"/>
        </w:rPr>
      </w:pPr>
    </w:p>
    <w:p w14:paraId="6789DF23" w14:textId="77777777" w:rsidR="002866F8" w:rsidRPr="008A386B" w:rsidRDefault="002866F8" w:rsidP="00526C13">
      <w:pPr>
        <w:rPr>
          <w:lang w:val="en-US"/>
        </w:rPr>
      </w:pPr>
    </w:p>
    <w:p w14:paraId="2F42285E" w14:textId="77777777" w:rsidR="002866F8" w:rsidRPr="008A386B" w:rsidRDefault="002866F8" w:rsidP="00526C13">
      <w:pPr>
        <w:rPr>
          <w:lang w:val="en-US"/>
        </w:rPr>
      </w:pPr>
    </w:p>
    <w:p w14:paraId="7A02480B" w14:textId="77777777" w:rsidR="00526C13" w:rsidRPr="007E4A18" w:rsidRDefault="00526C13" w:rsidP="00526C13">
      <w:pPr>
        <w:rPr>
          <w:lang w:val="en-US"/>
        </w:rPr>
      </w:pPr>
      <w:r w:rsidRPr="007E4A18">
        <w:rPr>
          <w:lang w:val="en-US"/>
        </w:rPr>
        <w:t>https://ephconference.eu/2017-stockholm-abstract-</w:t>
      </w:r>
      <w:r w:rsidRPr="007E4A18">
        <w:rPr>
          <w:color w:val="FF0000"/>
          <w:lang w:val="en-US"/>
        </w:rPr>
        <w:t>submission</w:t>
      </w:r>
      <w:r w:rsidRPr="007E4A18">
        <w:rPr>
          <w:lang w:val="en-US"/>
        </w:rPr>
        <w:t>-303</w:t>
      </w:r>
    </w:p>
    <w:sectPr w:rsidR="00526C13" w:rsidRPr="007E4A18" w:rsidSect="00BE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23F"/>
    <w:multiLevelType w:val="hybridMultilevel"/>
    <w:tmpl w:val="C32AAA28"/>
    <w:lvl w:ilvl="0" w:tplc="54688D92">
      <w:start w:val="1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22A4"/>
    <w:multiLevelType w:val="hybridMultilevel"/>
    <w:tmpl w:val="ED94F3AE"/>
    <w:lvl w:ilvl="0" w:tplc="12E06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13"/>
    <w:rsid w:val="00063F8E"/>
    <w:rsid w:val="00086EFE"/>
    <w:rsid w:val="000A5518"/>
    <w:rsid w:val="001227DA"/>
    <w:rsid w:val="00166ADB"/>
    <w:rsid w:val="00194507"/>
    <w:rsid w:val="00263BF2"/>
    <w:rsid w:val="002866F8"/>
    <w:rsid w:val="003463C3"/>
    <w:rsid w:val="00360A3F"/>
    <w:rsid w:val="003935EA"/>
    <w:rsid w:val="003B170C"/>
    <w:rsid w:val="004311BD"/>
    <w:rsid w:val="00444FAE"/>
    <w:rsid w:val="004A7F4F"/>
    <w:rsid w:val="004C462E"/>
    <w:rsid w:val="00526C13"/>
    <w:rsid w:val="00535857"/>
    <w:rsid w:val="00537E04"/>
    <w:rsid w:val="005634E6"/>
    <w:rsid w:val="005B2C47"/>
    <w:rsid w:val="005C3E79"/>
    <w:rsid w:val="005D4660"/>
    <w:rsid w:val="005F6ED3"/>
    <w:rsid w:val="00613548"/>
    <w:rsid w:val="00621976"/>
    <w:rsid w:val="00653130"/>
    <w:rsid w:val="006F2D75"/>
    <w:rsid w:val="007078A4"/>
    <w:rsid w:val="00785B2B"/>
    <w:rsid w:val="007D733B"/>
    <w:rsid w:val="007E4A18"/>
    <w:rsid w:val="007F32B3"/>
    <w:rsid w:val="008A386B"/>
    <w:rsid w:val="009565EB"/>
    <w:rsid w:val="0097592E"/>
    <w:rsid w:val="009A5354"/>
    <w:rsid w:val="00A40289"/>
    <w:rsid w:val="00A441F0"/>
    <w:rsid w:val="00AA6D85"/>
    <w:rsid w:val="00AA6FBE"/>
    <w:rsid w:val="00AD4A67"/>
    <w:rsid w:val="00B6394C"/>
    <w:rsid w:val="00B7277E"/>
    <w:rsid w:val="00BB756C"/>
    <w:rsid w:val="00BE1E7C"/>
    <w:rsid w:val="00BE25CB"/>
    <w:rsid w:val="00C207DC"/>
    <w:rsid w:val="00C512FE"/>
    <w:rsid w:val="00D15252"/>
    <w:rsid w:val="00D469AF"/>
    <w:rsid w:val="00DC4B1C"/>
    <w:rsid w:val="00E45795"/>
    <w:rsid w:val="00E47519"/>
    <w:rsid w:val="00E51738"/>
    <w:rsid w:val="00E86D3C"/>
    <w:rsid w:val="00F64FE9"/>
    <w:rsid w:val="00F81F09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A5BA"/>
  <w15:docId w15:val="{A2BCA69D-7D3B-4D96-A7DC-7E62DF0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1E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26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A6FB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152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52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52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52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525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B5232B61</Template>
  <TotalTime>336</TotalTime>
  <Pages>1</Pages>
  <Words>406</Words>
  <Characters>2370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Veiligheids- en Gezondheidsregio Gelderland Midden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Wevers</dc:creator>
  <cp:lastModifiedBy>Kirsten Wevers</cp:lastModifiedBy>
  <cp:revision>12</cp:revision>
  <dcterms:created xsi:type="dcterms:W3CDTF">2017-04-25T11:59:00Z</dcterms:created>
  <dcterms:modified xsi:type="dcterms:W3CDTF">2017-04-26T12:09:00Z</dcterms:modified>
</cp:coreProperties>
</file>